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A05" w:rsidRPr="0082728A" w:rsidRDefault="00D72A05" w:rsidP="00D72A05">
      <w:pPr>
        <w:spacing w:after="0" w:line="240" w:lineRule="auto"/>
        <w:jc w:val="center"/>
        <w:rPr>
          <w:b/>
          <w:sz w:val="28"/>
          <w:szCs w:val="28"/>
        </w:rPr>
      </w:pPr>
      <w:r w:rsidRPr="0082728A">
        <w:rPr>
          <w:b/>
          <w:sz w:val="28"/>
          <w:szCs w:val="28"/>
        </w:rPr>
        <w:t>Un exemple d’utilisation du tableur dans le cadre de ce  questionnement :</w:t>
      </w:r>
    </w:p>
    <w:p w:rsidR="00D72A05" w:rsidRPr="0082728A" w:rsidRDefault="00D72A05" w:rsidP="00D72A05">
      <w:pPr>
        <w:spacing w:after="0" w:line="240" w:lineRule="auto"/>
        <w:jc w:val="center"/>
        <w:rPr>
          <w:b/>
          <w:i/>
          <w:u w:val="single"/>
        </w:rPr>
      </w:pPr>
      <w:r w:rsidRPr="0082728A">
        <w:rPr>
          <w:b/>
          <w:i/>
          <w:u w:val="single"/>
        </w:rPr>
        <w:t>2. Comment apprécier l’état de santé et de bien-être social ?</w:t>
      </w:r>
    </w:p>
    <w:p w:rsidR="00D72A05" w:rsidRDefault="00D72A05" w:rsidP="00D72A05">
      <w:pPr>
        <w:spacing w:before="100" w:beforeAutospacing="1" w:after="100" w:afterAutospacing="1" w:line="240" w:lineRule="auto"/>
      </w:pPr>
      <w:r>
        <w:t xml:space="preserve">Il ne s’agit pas d’une activité technologique, mais d’une activité permettant d’illustrer l’importance d’une réflexion sur le sens des données et de mobiliser les fonctionnalités du tableur  afin de mettre en évidence un phénomène, ici les inégalités territoriales face à la précarité </w:t>
      </w:r>
      <w:r w:rsidRPr="00CC2E77">
        <w:t xml:space="preserve">: </w:t>
      </w:r>
    </w:p>
    <w:p w:rsidR="00D72A05" w:rsidRPr="00D923C2" w:rsidRDefault="00D72A05" w:rsidP="00D72A05">
      <w:pPr>
        <w:spacing w:before="100" w:beforeAutospacing="1" w:after="100" w:afterAutospacing="1" w:line="240" w:lineRule="auto"/>
        <w:rPr>
          <w:sz w:val="28"/>
          <w:szCs w:val="28"/>
        </w:rPr>
      </w:pPr>
      <w:r w:rsidRPr="00D923C2">
        <w:rPr>
          <w:b/>
          <w:i/>
          <w:sz w:val="28"/>
          <w:szCs w:val="28"/>
        </w:rPr>
        <w:t xml:space="preserve">L’axe choisi ici : </w:t>
      </w:r>
      <w:r w:rsidRPr="00D923C2">
        <w:rPr>
          <w:sz w:val="28"/>
          <w:szCs w:val="28"/>
        </w:rPr>
        <w:t xml:space="preserve">Les inégalités géographiques : comparer la situation des régions. </w:t>
      </w:r>
    </w:p>
    <w:p w:rsidR="00D72A05" w:rsidRPr="00D923C2" w:rsidRDefault="00D72A05" w:rsidP="00D72A05">
      <w:pPr>
        <w:spacing w:before="100" w:beforeAutospacing="1" w:after="100" w:afterAutospacing="1" w:line="240" w:lineRule="auto"/>
        <w:rPr>
          <w:b/>
          <w:i/>
          <w:sz w:val="28"/>
          <w:szCs w:val="28"/>
        </w:rPr>
      </w:pPr>
      <w:r w:rsidRPr="00D923C2">
        <w:rPr>
          <w:b/>
          <w:i/>
          <w:sz w:val="28"/>
          <w:szCs w:val="28"/>
        </w:rPr>
        <w:t xml:space="preserve">Objectifs :    </w:t>
      </w:r>
      <w:r w:rsidRPr="00D923C2">
        <w:rPr>
          <w:sz w:val="28"/>
          <w:szCs w:val="28"/>
        </w:rPr>
        <w:t>Mettre en évidence :</w:t>
      </w:r>
    </w:p>
    <w:p w:rsidR="00D72A05" w:rsidRDefault="00D72A05" w:rsidP="00D72A05">
      <w:pPr>
        <w:pStyle w:val="Paragraphedeliste"/>
        <w:numPr>
          <w:ilvl w:val="1"/>
          <w:numId w:val="1"/>
        </w:numPr>
        <w:spacing w:before="100" w:beforeAutospacing="1" w:after="100" w:afterAutospacing="1" w:line="240" w:lineRule="auto"/>
      </w:pPr>
      <w:r>
        <w:t>les inégalités géographiques,</w:t>
      </w:r>
    </w:p>
    <w:p w:rsidR="00D72A05" w:rsidRDefault="00D72A05" w:rsidP="00D72A05">
      <w:pPr>
        <w:pStyle w:val="Paragraphedeliste"/>
        <w:numPr>
          <w:ilvl w:val="1"/>
          <w:numId w:val="1"/>
        </w:numPr>
        <w:spacing w:before="100" w:beforeAutospacing="1" w:after="100" w:afterAutospacing="1" w:line="240" w:lineRule="auto"/>
      </w:pPr>
      <w:r>
        <w:t xml:space="preserve"> mais également la relativité des indicateurs,</w:t>
      </w:r>
    </w:p>
    <w:p w:rsidR="00D72A05" w:rsidRPr="00DB6C9F" w:rsidRDefault="00D72A05" w:rsidP="00D72A05">
      <w:pPr>
        <w:spacing w:before="100" w:beforeAutospacing="1" w:after="100" w:afterAutospacing="1" w:line="240" w:lineRule="auto"/>
        <w:ind w:left="1134"/>
      </w:pPr>
      <w:r>
        <w:t>M</w:t>
      </w:r>
      <w:r w:rsidRPr="00DB6C9F">
        <w:t>ontrer que la transformation des données numériques est parfois nécessaire pour mesu</w:t>
      </w:r>
      <w:r>
        <w:t>rer l’importance d’un phénomène.</w:t>
      </w:r>
    </w:p>
    <w:p w:rsidR="00D72A05" w:rsidRPr="0082728A" w:rsidRDefault="00D72A05" w:rsidP="00D72A05">
      <w:pPr>
        <w:spacing w:after="0" w:line="240" w:lineRule="auto"/>
        <w:rPr>
          <w:b/>
          <w:i/>
          <w:sz w:val="24"/>
          <w:szCs w:val="24"/>
        </w:rPr>
      </w:pPr>
      <w:r w:rsidRPr="0082728A">
        <w:rPr>
          <w:b/>
          <w:i/>
          <w:sz w:val="24"/>
          <w:szCs w:val="24"/>
        </w:rPr>
        <w:t xml:space="preserve">Les données utilisées : </w:t>
      </w:r>
    </w:p>
    <w:p w:rsidR="00D72A05" w:rsidRDefault="00D72A05" w:rsidP="00D72A05">
      <w:pPr>
        <w:spacing w:after="0" w:line="240" w:lineRule="auto"/>
      </w:pPr>
      <w:r>
        <w:t xml:space="preserve">Il s’agit de proposer  des données exprimées en valeur absolue concernant le nombre de bénéficiaires du RSA par région afin de montrer les limites de ces données dans le cadre de l’analyse et la nécessité de proposer des valeurs relatives pour proposer une analyse plus pertinente. </w:t>
      </w:r>
    </w:p>
    <w:p w:rsidR="00D72A05" w:rsidRDefault="00D72A05" w:rsidP="00D72A05">
      <w:pPr>
        <w:pStyle w:val="Titre1"/>
        <w:rPr>
          <w:rFonts w:ascii="Calibri" w:eastAsia="Calibri" w:hAnsi="Calibri"/>
          <w:b w:val="0"/>
          <w:bCs w:val="0"/>
          <w:kern w:val="0"/>
          <w:sz w:val="22"/>
          <w:szCs w:val="22"/>
          <w:lang w:eastAsia="en-US"/>
        </w:rPr>
      </w:pPr>
      <w:r w:rsidRPr="00193452">
        <w:rPr>
          <w:rFonts w:ascii="Calibri" w:eastAsia="Calibri" w:hAnsi="Calibri"/>
          <w:b w:val="0"/>
          <w:bCs w:val="0"/>
          <w:kern w:val="0"/>
          <w:sz w:val="22"/>
          <w:szCs w:val="22"/>
          <w:lang w:eastAsia="en-US"/>
        </w:rPr>
        <w:t xml:space="preserve">L’INSEE  propose </w:t>
      </w:r>
      <w:r>
        <w:rPr>
          <w:rFonts w:ascii="Calibri" w:eastAsia="Calibri" w:hAnsi="Calibri"/>
          <w:b w:val="0"/>
          <w:bCs w:val="0"/>
          <w:kern w:val="0"/>
          <w:sz w:val="22"/>
          <w:szCs w:val="22"/>
          <w:lang w:eastAsia="en-US"/>
        </w:rPr>
        <w:t>des données concernant le</w:t>
      </w:r>
      <w:r w:rsidRPr="00193452">
        <w:rPr>
          <w:rFonts w:ascii="Calibri" w:eastAsia="Calibri" w:hAnsi="Calibri"/>
          <w:b w:val="0"/>
          <w:bCs w:val="0"/>
          <w:kern w:val="0"/>
          <w:sz w:val="22"/>
          <w:szCs w:val="22"/>
          <w:lang w:eastAsia="en-US"/>
        </w:rPr>
        <w:t xml:space="preserve"> </w:t>
      </w:r>
      <w:r w:rsidRPr="00193452">
        <w:rPr>
          <w:rFonts w:ascii="Calibri" w:eastAsia="Calibri" w:hAnsi="Calibri"/>
          <w:b w:val="0"/>
          <w:bCs w:val="0"/>
          <w:kern w:val="0"/>
          <w:sz w:val="22"/>
          <w:szCs w:val="22"/>
          <w:u w:val="single"/>
          <w:lang w:eastAsia="en-US"/>
        </w:rPr>
        <w:t xml:space="preserve"> </w:t>
      </w:r>
      <w:proofErr w:type="gramStart"/>
      <w:r w:rsidRPr="00193452">
        <w:rPr>
          <w:rFonts w:ascii="Calibri" w:eastAsia="Calibri" w:hAnsi="Calibri"/>
          <w:b w:val="0"/>
          <w:bCs w:val="0"/>
          <w:kern w:val="0"/>
          <w:sz w:val="22"/>
          <w:szCs w:val="22"/>
          <w:u w:val="single"/>
          <w:lang w:eastAsia="en-US"/>
        </w:rPr>
        <w:t>Revenu</w:t>
      </w:r>
      <w:proofErr w:type="gramEnd"/>
      <w:r w:rsidRPr="00193452">
        <w:rPr>
          <w:rFonts w:ascii="Calibri" w:eastAsia="Calibri" w:hAnsi="Calibri"/>
          <w:b w:val="0"/>
          <w:bCs w:val="0"/>
          <w:kern w:val="0"/>
          <w:sz w:val="22"/>
          <w:szCs w:val="22"/>
          <w:u w:val="single"/>
          <w:lang w:eastAsia="en-US"/>
        </w:rPr>
        <w:t xml:space="preserve"> de solidarité active (RSA) en 2010 et couverture maladie universelle (CMU) en 2011 : comparaisons régionales</w:t>
      </w:r>
      <w:r>
        <w:rPr>
          <w:rFonts w:ascii="Calibri" w:eastAsia="Calibri" w:hAnsi="Calibri"/>
          <w:b w:val="0"/>
          <w:bCs w:val="0"/>
          <w:kern w:val="0"/>
          <w:sz w:val="22"/>
          <w:szCs w:val="22"/>
          <w:lang w:eastAsia="en-US"/>
        </w:rPr>
        <w:t>. (</w:t>
      </w:r>
      <w:proofErr w:type="gramStart"/>
      <w:r w:rsidRPr="00EA4E4E">
        <w:rPr>
          <w:rFonts w:ascii="Calibri" w:eastAsia="Calibri" w:hAnsi="Calibri"/>
          <w:b w:val="0"/>
          <w:bCs w:val="0"/>
          <w:kern w:val="0"/>
          <w:sz w:val="22"/>
          <w:szCs w:val="22"/>
          <w:lang w:eastAsia="en-US"/>
        </w:rPr>
        <w:t>http</w:t>
      </w:r>
      <w:proofErr w:type="gramEnd"/>
      <w:r w:rsidRPr="00EA4E4E">
        <w:rPr>
          <w:rFonts w:ascii="Calibri" w:eastAsia="Calibri" w:hAnsi="Calibri"/>
          <w:b w:val="0"/>
          <w:bCs w:val="0"/>
          <w:kern w:val="0"/>
          <w:sz w:val="22"/>
          <w:szCs w:val="22"/>
          <w:lang w:eastAsia="en-US"/>
        </w:rPr>
        <w:t>://www.insee.fr/fr/themes/tableau.asp?reg_id=99&amp;ref_id=t_1202R</w:t>
      </w:r>
      <w:r>
        <w:rPr>
          <w:rFonts w:ascii="Calibri" w:eastAsia="Calibri" w:hAnsi="Calibri"/>
          <w:b w:val="0"/>
          <w:bCs w:val="0"/>
          <w:kern w:val="0"/>
          <w:sz w:val="22"/>
          <w:szCs w:val="22"/>
          <w:lang w:eastAsia="en-US"/>
        </w:rPr>
        <w:t>)</w:t>
      </w:r>
    </w:p>
    <w:p w:rsidR="00D72A05" w:rsidRDefault="00D72A05" w:rsidP="00D72A05">
      <w:pPr>
        <w:pStyle w:val="Titre1"/>
        <w:spacing w:before="0" w:beforeAutospacing="0" w:after="0" w:afterAutospacing="0"/>
        <w:rPr>
          <w:rFonts w:ascii="Calibri" w:eastAsia="Calibri" w:hAnsi="Calibri"/>
          <w:b w:val="0"/>
          <w:bCs w:val="0"/>
          <w:kern w:val="0"/>
          <w:sz w:val="22"/>
          <w:szCs w:val="22"/>
          <w:lang w:eastAsia="en-US"/>
        </w:rPr>
      </w:pPr>
      <w:r>
        <w:rPr>
          <w:rFonts w:ascii="Calibri" w:eastAsia="Calibri" w:hAnsi="Calibri"/>
          <w:b w:val="0"/>
          <w:bCs w:val="0"/>
          <w:kern w:val="0"/>
          <w:sz w:val="22"/>
          <w:szCs w:val="22"/>
          <w:lang w:eastAsia="en-US"/>
        </w:rPr>
        <w:t xml:space="preserve">Le tableau propose des données en valeurs  relative et absolue concernant le nombre de bénéficiaires du RSA. </w:t>
      </w:r>
    </w:p>
    <w:p w:rsidR="00D72A05" w:rsidRPr="00193452" w:rsidRDefault="00D72A05" w:rsidP="00D72A05">
      <w:pPr>
        <w:pStyle w:val="Titre1"/>
        <w:spacing w:before="0" w:beforeAutospacing="0" w:after="0" w:afterAutospacing="0"/>
        <w:rPr>
          <w:rFonts w:ascii="Calibri" w:eastAsia="Calibri" w:hAnsi="Calibri"/>
          <w:b w:val="0"/>
          <w:bCs w:val="0"/>
          <w:kern w:val="0"/>
          <w:sz w:val="22"/>
          <w:szCs w:val="22"/>
          <w:lang w:eastAsia="en-US"/>
        </w:rPr>
      </w:pPr>
      <w:r>
        <w:rPr>
          <w:rFonts w:ascii="Calibri" w:eastAsia="Calibri" w:hAnsi="Calibri"/>
          <w:b w:val="0"/>
          <w:bCs w:val="0"/>
          <w:noProof/>
          <w:kern w:val="0"/>
          <w:sz w:val="22"/>
          <w:szCs w:val="22"/>
        </w:rPr>
        <w:pict>
          <v:shapetype id="_x0000_t32" coordsize="21600,21600" o:spt="32" o:oned="t" path="m,l21600,21600e" filled="f">
            <v:path arrowok="t" fillok="f" o:connecttype="none"/>
            <o:lock v:ext="edit" shapetype="t"/>
          </v:shapetype>
          <v:shape id="_x0000_s1027" type="#_x0000_t32" style="position:absolute;margin-left:232.9pt;margin-top:1in;width:149.25pt;height:79.5pt;flip:y;z-index:251661312" o:connectortype="straight" strokeweight="1.5pt">
            <v:stroke endarrow="block"/>
            <v:shadow type="perspective" color="#7f7f7f" opacity=".5" offset="1pt" offset2="-1pt"/>
          </v:shape>
        </w:pict>
      </w:r>
      <w:r>
        <w:rPr>
          <w:rFonts w:eastAsia="Calibri"/>
          <w:noProof/>
        </w:rPr>
        <w:drawing>
          <wp:anchor distT="0" distB="0" distL="114300" distR="114300" simplePos="0" relativeHeight="251660288" behindDoc="0" locked="0" layoutInCell="1" allowOverlap="1">
            <wp:simplePos x="0" y="0"/>
            <wp:positionH relativeFrom="column">
              <wp:posOffset>-633095</wp:posOffset>
            </wp:positionH>
            <wp:positionV relativeFrom="paragraph">
              <wp:posOffset>371475</wp:posOffset>
            </wp:positionV>
            <wp:extent cx="6838950" cy="4476750"/>
            <wp:effectExtent l="19050" t="0" r="0" b="0"/>
            <wp:wrapTopAndBottom/>
            <wp:docPr id="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5" cstate="print"/>
                    <a:srcRect/>
                    <a:stretch>
                      <a:fillRect/>
                    </a:stretch>
                  </pic:blipFill>
                  <pic:spPr bwMode="auto">
                    <a:xfrm>
                      <a:off x="0" y="0"/>
                      <a:ext cx="6838950" cy="4476750"/>
                    </a:xfrm>
                    <a:prstGeom prst="rect">
                      <a:avLst/>
                    </a:prstGeom>
                    <a:noFill/>
                    <a:ln w="9525">
                      <a:noFill/>
                      <a:miter lim="800000"/>
                      <a:headEnd/>
                      <a:tailEnd/>
                    </a:ln>
                  </pic:spPr>
                </pic:pic>
              </a:graphicData>
            </a:graphic>
          </wp:anchor>
        </w:drawing>
      </w:r>
      <w:r>
        <w:rPr>
          <w:rFonts w:ascii="Calibri" w:eastAsia="Calibri" w:hAnsi="Calibri"/>
          <w:b w:val="0"/>
          <w:bCs w:val="0"/>
          <w:kern w:val="0"/>
          <w:sz w:val="22"/>
          <w:szCs w:val="22"/>
          <w:lang w:eastAsia="en-US"/>
        </w:rPr>
        <w:t xml:space="preserve">Pour permettre la réflexion attendue,  il faut dans un premier temps supprimer les données en valeur relative. </w:t>
      </w:r>
    </w:p>
    <w:p w:rsidR="00D72A05" w:rsidRPr="00902EEB" w:rsidRDefault="00D72A05" w:rsidP="00D72A05">
      <w:pPr>
        <w:spacing w:before="100" w:beforeAutospacing="1" w:after="100" w:afterAutospacing="1" w:line="240" w:lineRule="auto"/>
        <w:rPr>
          <w:b/>
          <w:i/>
          <w:sz w:val="24"/>
          <w:szCs w:val="24"/>
        </w:rPr>
      </w:pPr>
      <w:r w:rsidRPr="00902EEB">
        <w:rPr>
          <w:b/>
          <w:i/>
          <w:sz w:val="24"/>
          <w:szCs w:val="24"/>
        </w:rPr>
        <w:lastRenderedPageBreak/>
        <w:t>R</w:t>
      </w:r>
      <w:r>
        <w:rPr>
          <w:b/>
          <w:i/>
          <w:sz w:val="24"/>
          <w:szCs w:val="24"/>
        </w:rPr>
        <w:t>É</w:t>
      </w:r>
      <w:r w:rsidRPr="00902EEB">
        <w:rPr>
          <w:b/>
          <w:i/>
          <w:sz w:val="24"/>
          <w:szCs w:val="24"/>
        </w:rPr>
        <w:t xml:space="preserve">FLEXION AVEC LES </w:t>
      </w:r>
      <w:r>
        <w:rPr>
          <w:b/>
          <w:i/>
          <w:sz w:val="24"/>
          <w:szCs w:val="24"/>
        </w:rPr>
        <w:t>É</w:t>
      </w:r>
      <w:r w:rsidRPr="00902EEB">
        <w:rPr>
          <w:b/>
          <w:i/>
          <w:sz w:val="24"/>
          <w:szCs w:val="24"/>
        </w:rPr>
        <w:t>L</w:t>
      </w:r>
      <w:r>
        <w:rPr>
          <w:b/>
          <w:i/>
          <w:sz w:val="24"/>
          <w:szCs w:val="24"/>
        </w:rPr>
        <w:t>È</w:t>
      </w:r>
      <w:r w:rsidRPr="00902EEB">
        <w:rPr>
          <w:b/>
          <w:i/>
          <w:sz w:val="24"/>
          <w:szCs w:val="24"/>
        </w:rPr>
        <w:t>VES</w:t>
      </w:r>
      <w:r>
        <w:rPr>
          <w:b/>
          <w:i/>
          <w:sz w:val="24"/>
          <w:szCs w:val="24"/>
        </w:rPr>
        <w:t xml:space="preserve"> </w:t>
      </w:r>
      <w:r w:rsidRPr="00902EEB">
        <w:rPr>
          <w:b/>
          <w:i/>
          <w:sz w:val="24"/>
          <w:szCs w:val="24"/>
        </w:rPr>
        <w:t xml:space="preserve">: </w:t>
      </w:r>
    </w:p>
    <w:p w:rsidR="00D72A05" w:rsidRDefault="00D72A05" w:rsidP="00D72A05">
      <w:pPr>
        <w:pStyle w:val="Paragraphedeliste"/>
        <w:numPr>
          <w:ilvl w:val="0"/>
          <w:numId w:val="2"/>
        </w:numPr>
        <w:spacing w:before="100" w:beforeAutospacing="1" w:after="100" w:afterAutospacing="1" w:line="240" w:lineRule="auto"/>
      </w:pPr>
      <w:r>
        <w:t>analyse de ces données pour comparer la situation des régions en matière de précarité,</w:t>
      </w:r>
    </w:p>
    <w:p w:rsidR="00D72A05" w:rsidRDefault="00D72A05" w:rsidP="00D72A05">
      <w:pPr>
        <w:pStyle w:val="Paragraphedeliste"/>
        <w:numPr>
          <w:ilvl w:val="0"/>
          <w:numId w:val="2"/>
        </w:numPr>
        <w:spacing w:before="100" w:beforeAutospacing="1" w:after="100" w:afterAutospacing="1" w:line="240" w:lineRule="auto"/>
      </w:pPr>
      <w:proofErr w:type="gramStart"/>
      <w:r>
        <w:t>intérêt</w:t>
      </w:r>
      <w:proofErr w:type="gramEnd"/>
      <w:r>
        <w:t xml:space="preserve"> et limite de cette analyse.   </w:t>
      </w:r>
    </w:p>
    <w:p w:rsidR="00D72A05" w:rsidRDefault="00D72A05" w:rsidP="00D72A05">
      <w:pPr>
        <w:spacing w:before="100" w:beforeAutospacing="1" w:after="100" w:afterAutospacing="1" w:line="240" w:lineRule="auto"/>
      </w:pPr>
      <w:r w:rsidRPr="00902EEB">
        <w:rPr>
          <w:b/>
          <w:i/>
        </w:rPr>
        <w:t>Conclusion</w:t>
      </w:r>
      <w:r>
        <w:t> : relativité des données en valeur absolue et nécessité de prendre en compte la démographie de la région : population de la région : calcul du taux d'allocataires pour 100 personnes. (si cette analyse n’est pas possible dans l’immédiat, il est possible de faire le travail proposé ci-dessous pour ensuite aboutir à cette conclusion).</w:t>
      </w:r>
    </w:p>
    <w:p w:rsidR="00D72A05" w:rsidRPr="00EC4112" w:rsidRDefault="00D72A05" w:rsidP="00D72A05">
      <w:pPr>
        <w:spacing w:before="100" w:beforeAutospacing="1" w:after="100" w:afterAutospacing="1" w:line="240" w:lineRule="auto"/>
      </w:pPr>
      <w:r>
        <w:t>Attention : Réflexion concernant  le  champ : population entre 25 et 64 ans (/ aux données du RSA) en 2010.</w:t>
      </w:r>
    </w:p>
    <w:p w:rsidR="00D72A05" w:rsidRDefault="00D72A05" w:rsidP="00D72A05">
      <w:pPr>
        <w:pStyle w:val="Titre1"/>
        <w:rPr>
          <w:rFonts w:ascii="Calibri" w:eastAsia="Calibri" w:hAnsi="Calibri"/>
          <w:noProof/>
          <w:sz w:val="22"/>
          <w:szCs w:val="22"/>
        </w:rPr>
      </w:pPr>
      <w:r>
        <w:rPr>
          <w:rFonts w:ascii="Calibri" w:eastAsia="Calibri" w:hAnsi="Calibri"/>
          <w:b w:val="0"/>
          <w:bCs w:val="0"/>
          <w:noProof/>
          <w:kern w:val="0"/>
          <w:sz w:val="22"/>
          <w:szCs w:val="22"/>
        </w:rPr>
        <w:t>L’INSEE propose une e</w:t>
      </w:r>
      <w:r w:rsidRPr="00425D32">
        <w:rPr>
          <w:rFonts w:ascii="Calibri" w:eastAsia="Calibri" w:hAnsi="Calibri"/>
          <w:b w:val="0"/>
          <w:bCs w:val="0"/>
          <w:noProof/>
          <w:kern w:val="0"/>
          <w:sz w:val="22"/>
          <w:szCs w:val="22"/>
        </w:rPr>
        <w:t>stimation de la population au 1er janvier par région, département (1975-2012), sexe et âge (quinquennal, classes d'âge)</w:t>
      </w:r>
      <w:r>
        <w:rPr>
          <w:rFonts w:ascii="Calibri" w:eastAsia="Calibri" w:hAnsi="Calibri"/>
          <w:b w:val="0"/>
          <w:bCs w:val="0"/>
          <w:noProof/>
          <w:kern w:val="0"/>
          <w:sz w:val="22"/>
          <w:szCs w:val="22"/>
        </w:rPr>
        <w:t xml:space="preserve"> (</w:t>
      </w:r>
      <w:hyperlink r:id="rId6" w:history="1">
        <w:r w:rsidRPr="00057053">
          <w:rPr>
            <w:rStyle w:val="Lienhypertexte"/>
            <w:rFonts w:ascii="Calibri" w:eastAsia="Calibri" w:hAnsi="Calibri"/>
            <w:noProof/>
            <w:sz w:val="22"/>
            <w:szCs w:val="22"/>
          </w:rPr>
          <w:t>http://www.insee.fr/fr/themes/detail.asp?ref_id=estim-pop&amp;reg_id=99</w:t>
        </w:r>
      </w:hyperlink>
      <w:r>
        <w:rPr>
          <w:rFonts w:ascii="Calibri" w:eastAsia="Calibri" w:hAnsi="Calibri"/>
          <w:noProof/>
          <w:sz w:val="22"/>
          <w:szCs w:val="22"/>
        </w:rPr>
        <w:t>)</w:t>
      </w:r>
    </w:p>
    <w:p w:rsidR="00D72A05" w:rsidRPr="00321498" w:rsidRDefault="00D72A05" w:rsidP="00D72A05">
      <w:pPr>
        <w:pStyle w:val="Titre1"/>
        <w:spacing w:before="0" w:beforeAutospacing="0" w:after="0" w:afterAutospacing="0"/>
        <w:rPr>
          <w:rFonts w:ascii="Calibri" w:eastAsia="Calibri" w:hAnsi="Calibri"/>
          <w:noProof/>
          <w:sz w:val="22"/>
          <w:szCs w:val="22"/>
        </w:rPr>
      </w:pPr>
      <w:r>
        <w:rPr>
          <w:rFonts w:ascii="Calibri" w:eastAsia="Calibri" w:hAnsi="Calibri"/>
          <w:noProof/>
          <w:sz w:val="22"/>
          <w:szCs w:val="22"/>
        </w:rPr>
        <w:t xml:space="preserve">Réflexion à mener :  quelles sont les données à exploiter dans cette base de données au regard de l’objectif. </w:t>
      </w:r>
    </w:p>
    <w:p w:rsidR="00D72A05" w:rsidRPr="00EC4112" w:rsidRDefault="00D72A05" w:rsidP="00D72A05">
      <w:pPr>
        <w:pStyle w:val="Titre1"/>
        <w:numPr>
          <w:ilvl w:val="1"/>
          <w:numId w:val="2"/>
        </w:numPr>
        <w:spacing w:before="0" w:beforeAutospacing="0" w:after="0" w:afterAutospacing="0"/>
        <w:rPr>
          <w:rFonts w:ascii="Calibri" w:eastAsia="Calibri" w:hAnsi="Calibri"/>
          <w:b w:val="0"/>
          <w:bCs w:val="0"/>
          <w:noProof/>
          <w:kern w:val="0"/>
          <w:sz w:val="22"/>
          <w:szCs w:val="22"/>
        </w:rPr>
      </w:pPr>
      <w:r>
        <w:rPr>
          <w:rFonts w:ascii="Calibri" w:eastAsia="Calibri" w:hAnsi="Calibri"/>
          <w:noProof/>
          <w:sz w:val="22"/>
          <w:szCs w:val="22"/>
        </w:rPr>
        <w:t xml:space="preserve">2010 : </w:t>
      </w:r>
      <w:r>
        <w:rPr>
          <w:rFonts w:ascii="Calibri" w:eastAsia="Calibri" w:hAnsi="Calibri"/>
          <w:b w:val="0"/>
          <w:noProof/>
          <w:sz w:val="22"/>
          <w:szCs w:val="22"/>
        </w:rPr>
        <w:t xml:space="preserve">sélection de la feuille correspondante. </w:t>
      </w:r>
    </w:p>
    <w:p w:rsidR="00D72A05" w:rsidRPr="00DF2BE8" w:rsidRDefault="00D72A05" w:rsidP="00D72A05">
      <w:pPr>
        <w:pStyle w:val="Titre1"/>
        <w:numPr>
          <w:ilvl w:val="1"/>
          <w:numId w:val="2"/>
        </w:numPr>
        <w:rPr>
          <w:rFonts w:ascii="Calibri" w:eastAsia="Calibri" w:hAnsi="Calibri"/>
          <w:b w:val="0"/>
          <w:bCs w:val="0"/>
          <w:noProof/>
          <w:kern w:val="0"/>
          <w:sz w:val="22"/>
          <w:szCs w:val="22"/>
        </w:rPr>
      </w:pPr>
      <w:r w:rsidRPr="000D7774">
        <w:rPr>
          <w:rFonts w:ascii="Calibri" w:eastAsia="Calibri" w:hAnsi="Calibri"/>
          <w:noProof/>
          <w:sz w:val="22"/>
          <w:szCs w:val="22"/>
        </w:rPr>
        <w:pict>
          <v:shapetype id="_x0000_t202" coordsize="21600,21600" o:spt="202" path="m,l,21600r21600,l21600,xe">
            <v:stroke joinstyle="miter"/>
            <v:path gradientshapeok="t" o:connecttype="rect"/>
          </v:shapetype>
          <v:shape id="_x0000_s1031" type="#_x0000_t202" style="position:absolute;left:0;text-align:left;margin-left:382.15pt;margin-top:30pt;width:28.5pt;height:34.4pt;z-index:251663360">
            <v:textbox>
              <w:txbxContent>
                <w:p w:rsidR="00D72A05" w:rsidRDefault="00D72A05" w:rsidP="00D72A05">
                  <w:r w:rsidRPr="00400DF7">
                    <w:rPr>
                      <w:rFonts w:ascii="Algerian" w:hAnsi="Algerian"/>
                      <w:i/>
                      <w:noProof/>
                      <w:sz w:val="28"/>
                      <w:szCs w:val="28"/>
                    </w:rPr>
                    <w:t>∑</w:t>
                  </w:r>
                </w:p>
              </w:txbxContent>
            </v:textbox>
          </v:shape>
        </w:pict>
      </w:r>
      <w:r>
        <w:rPr>
          <w:rFonts w:ascii="Calibri" w:eastAsia="Calibri" w:hAnsi="Calibri"/>
          <w:noProof/>
          <w:sz w:val="22"/>
          <w:szCs w:val="22"/>
        </w:rPr>
        <w:t xml:space="preserve">Uniquement les colonnes évoquant l’« ensemble » de la population </w:t>
      </w:r>
      <w:r w:rsidRPr="00BE6418">
        <w:rPr>
          <w:rFonts w:ascii="Calibri" w:eastAsia="Calibri" w:hAnsi="Calibri"/>
          <w:noProof/>
          <w:sz w:val="22"/>
          <w:szCs w:val="22"/>
        </w:rPr>
        <w:t>et ensuite uniquement entre 25 et 64 ans</w:t>
      </w:r>
      <w:r>
        <w:rPr>
          <w:rFonts w:ascii="Calibri" w:eastAsia="Calibri" w:hAnsi="Calibri"/>
          <w:b w:val="0"/>
          <w:noProof/>
          <w:sz w:val="22"/>
          <w:szCs w:val="22"/>
        </w:rPr>
        <w:t xml:space="preserve"> </w:t>
      </w:r>
      <w:r>
        <w:rPr>
          <w:rFonts w:ascii="Calibri" w:eastAsia="Calibri" w:hAnsi="Calibri"/>
          <w:noProof/>
          <w:sz w:val="22"/>
          <w:szCs w:val="22"/>
        </w:rPr>
        <w:t xml:space="preserve">: </w:t>
      </w:r>
      <w:r>
        <w:rPr>
          <w:rFonts w:ascii="Calibri" w:eastAsia="Calibri" w:hAnsi="Calibri"/>
          <w:b w:val="0"/>
          <w:noProof/>
          <w:sz w:val="22"/>
          <w:szCs w:val="22"/>
        </w:rPr>
        <w:t>supprimer les colonnes inutiles. (même démarche que précédemment).</w:t>
      </w:r>
    </w:p>
    <w:p w:rsidR="00D72A05" w:rsidRPr="00DF2BE8" w:rsidRDefault="00D72A05" w:rsidP="00D72A05">
      <w:pPr>
        <w:pStyle w:val="Titre1"/>
        <w:numPr>
          <w:ilvl w:val="1"/>
          <w:numId w:val="2"/>
        </w:numPr>
        <w:rPr>
          <w:rFonts w:ascii="Calibri" w:eastAsia="Calibri" w:hAnsi="Calibri"/>
          <w:b w:val="0"/>
          <w:bCs w:val="0"/>
          <w:i/>
          <w:noProof/>
          <w:kern w:val="0"/>
          <w:sz w:val="22"/>
          <w:szCs w:val="22"/>
        </w:rPr>
      </w:pPr>
      <w:r>
        <w:rPr>
          <w:rFonts w:ascii="Calibri" w:eastAsia="Calibri" w:hAnsi="Calibri"/>
          <w:noProof/>
          <w:sz w:val="22"/>
          <w:szCs w:val="22"/>
        </w:rPr>
        <w:t xml:space="preserve">Nombre d’habitants entre 25 et 64 ans : </w:t>
      </w:r>
      <w:r w:rsidRPr="00DF2BE8">
        <w:rPr>
          <w:rFonts w:ascii="Calibri" w:eastAsia="Calibri" w:hAnsi="Calibri"/>
          <w:b w:val="0"/>
          <w:i/>
          <w:noProof/>
          <w:sz w:val="22"/>
          <w:szCs w:val="22"/>
        </w:rPr>
        <w:t>Calculer la somme par ligne</w:t>
      </w:r>
      <w:r>
        <w:rPr>
          <w:rFonts w:ascii="Calibri" w:eastAsia="Calibri" w:hAnsi="Calibri"/>
          <w:b w:val="0"/>
          <w:i/>
          <w:noProof/>
          <w:sz w:val="22"/>
          <w:szCs w:val="22"/>
        </w:rPr>
        <w:t xml:space="preserve">.   </w:t>
      </w:r>
    </w:p>
    <w:p w:rsidR="00D72A05" w:rsidRDefault="00D72A05" w:rsidP="00D72A05">
      <w:pPr>
        <w:pStyle w:val="Titre1"/>
        <w:rPr>
          <w:rFonts w:ascii="Calibri" w:eastAsia="Calibri" w:hAnsi="Calibri"/>
          <w:b w:val="0"/>
          <w:bCs w:val="0"/>
          <w:noProof/>
          <w:kern w:val="0"/>
          <w:sz w:val="22"/>
          <w:szCs w:val="22"/>
        </w:rPr>
      </w:pPr>
      <w:r>
        <w:rPr>
          <w:rFonts w:eastAsia="Calibri"/>
          <w:noProof/>
        </w:rPr>
        <w:drawing>
          <wp:anchor distT="0" distB="0" distL="114300" distR="114300" simplePos="0" relativeHeight="251664384" behindDoc="0" locked="0" layoutInCell="1" allowOverlap="1">
            <wp:simplePos x="0" y="0"/>
            <wp:positionH relativeFrom="column">
              <wp:posOffset>-709295</wp:posOffset>
            </wp:positionH>
            <wp:positionV relativeFrom="paragraph">
              <wp:posOffset>666115</wp:posOffset>
            </wp:positionV>
            <wp:extent cx="7162800" cy="4638675"/>
            <wp:effectExtent l="19050" t="0" r="0" b="0"/>
            <wp:wrapThrough wrapText="bothSides">
              <wp:wrapPolygon edited="0">
                <wp:start x="-57" y="0"/>
                <wp:lineTo x="-57" y="21556"/>
                <wp:lineTo x="21600" y="21556"/>
                <wp:lineTo x="21600" y="0"/>
                <wp:lineTo x="-57" y="0"/>
              </wp:wrapPolygon>
            </wp:wrapThrough>
            <wp:docPr id="8"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7" cstate="print"/>
                    <a:srcRect/>
                    <a:stretch>
                      <a:fillRect/>
                    </a:stretch>
                  </pic:blipFill>
                  <pic:spPr bwMode="auto">
                    <a:xfrm>
                      <a:off x="0" y="0"/>
                      <a:ext cx="7162800" cy="4638675"/>
                    </a:xfrm>
                    <a:prstGeom prst="rect">
                      <a:avLst/>
                    </a:prstGeom>
                    <a:noFill/>
                    <a:ln w="9525">
                      <a:noFill/>
                      <a:miter lim="800000"/>
                      <a:headEnd/>
                      <a:tailEnd/>
                    </a:ln>
                  </pic:spPr>
                </pic:pic>
              </a:graphicData>
            </a:graphic>
          </wp:anchor>
        </w:drawing>
      </w:r>
      <w:r>
        <w:rPr>
          <w:rFonts w:ascii="Calibri" w:eastAsia="Calibri" w:hAnsi="Calibri"/>
          <w:b w:val="0"/>
          <w:bCs w:val="0"/>
          <w:noProof/>
          <w:kern w:val="0"/>
          <w:sz w:val="22"/>
          <w:szCs w:val="22"/>
        </w:rPr>
        <w:t xml:space="preserve">Créer le tableau présentant le nombre d’allocataires et le nombre d’habitants entre 25 et 64 ans par région en 2010 avec les données sur le nombre d’habitants  : </w:t>
      </w:r>
    </w:p>
    <w:p w:rsidR="00D72A05" w:rsidRPr="006B60AC" w:rsidRDefault="00D72A05" w:rsidP="00D72A05">
      <w:pPr>
        <w:pStyle w:val="Titre1"/>
        <w:rPr>
          <w:rFonts w:ascii="Calibri" w:eastAsia="Calibri" w:hAnsi="Calibri"/>
          <w:b w:val="0"/>
          <w:bCs w:val="0"/>
          <w:noProof/>
          <w:kern w:val="0"/>
          <w:sz w:val="22"/>
          <w:szCs w:val="22"/>
        </w:rPr>
      </w:pPr>
      <w:r>
        <w:rPr>
          <w:rFonts w:eastAsia="Calibri"/>
          <w:noProof/>
        </w:rPr>
        <w:drawing>
          <wp:anchor distT="0" distB="0" distL="114300" distR="114300" simplePos="0" relativeHeight="251666432" behindDoc="0" locked="0" layoutInCell="1" allowOverlap="1">
            <wp:simplePos x="0" y="0"/>
            <wp:positionH relativeFrom="column">
              <wp:posOffset>-566420</wp:posOffset>
            </wp:positionH>
            <wp:positionV relativeFrom="paragraph">
              <wp:posOffset>-344805</wp:posOffset>
            </wp:positionV>
            <wp:extent cx="6934200" cy="4333875"/>
            <wp:effectExtent l="19050" t="0" r="0" b="0"/>
            <wp:wrapThrough wrapText="bothSides">
              <wp:wrapPolygon edited="0">
                <wp:start x="-59" y="0"/>
                <wp:lineTo x="-59" y="21553"/>
                <wp:lineTo x="21600" y="21553"/>
                <wp:lineTo x="21600" y="0"/>
                <wp:lineTo x="-59" y="0"/>
              </wp:wrapPolygon>
            </wp:wrapThrough>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8" cstate="print"/>
                    <a:srcRect/>
                    <a:stretch>
                      <a:fillRect/>
                    </a:stretch>
                  </pic:blipFill>
                  <pic:spPr bwMode="auto">
                    <a:xfrm>
                      <a:off x="0" y="0"/>
                      <a:ext cx="6934200" cy="4333875"/>
                    </a:xfrm>
                    <a:prstGeom prst="rect">
                      <a:avLst/>
                    </a:prstGeom>
                    <a:noFill/>
                    <a:ln w="9525">
                      <a:noFill/>
                      <a:miter lim="800000"/>
                      <a:headEnd/>
                      <a:tailEnd/>
                    </a:ln>
                  </pic:spPr>
                </pic:pic>
              </a:graphicData>
            </a:graphic>
          </wp:anchor>
        </w:drawing>
      </w:r>
      <w:r>
        <w:rPr>
          <w:rFonts w:ascii="Calibri" w:eastAsia="Calibri" w:hAnsi="Calibri"/>
          <w:b w:val="0"/>
          <w:bCs w:val="0"/>
          <w:noProof/>
          <w:kern w:val="0"/>
          <w:sz w:val="22"/>
          <w:szCs w:val="22"/>
        </w:rPr>
        <w:pict>
          <v:group id="_x0000_s1035" style="position:absolute;margin-left:70.15pt;margin-top:-304.15pt;width:318.75pt;height:106.25pt;z-index:251667456;mso-position-horizontal-relative:text;mso-position-vertical-relative:text" coordorigin="2820,1355" coordsize="6375,2125">
            <v:oval id="_x0000_s1036" style="position:absolute;left:5910;top:1355;width:1110;height:430" filled="f" strokecolor="#548dd4" strokeweight="2.25pt"/>
            <v:shape id="_x0000_s1037" type="#_x0000_t32" style="position:absolute;left:2820;top:2145;width:750;height:525;flip:x y" o:connectortype="straight" strokecolor="#548dd4" strokeweight="1.5pt">
              <v:stroke endarrow="block"/>
            </v:shape>
            <v:shape id="_x0000_s1038" type="#_x0000_t32" style="position:absolute;left:6495;top:1785;width:2700;height:1695;flip:x y" o:connectortype="straight" strokecolor="#548dd4" strokeweight="1.5pt">
              <v:stroke endarrow="block"/>
            </v:shape>
          </v:group>
        </w:pict>
      </w:r>
      <w:r>
        <w:rPr>
          <w:rFonts w:ascii="Calibri" w:eastAsia="Calibri" w:hAnsi="Calibri"/>
          <w:b w:val="0"/>
          <w:bCs w:val="0"/>
          <w:noProof/>
          <w:kern w:val="0"/>
          <w:sz w:val="22"/>
          <w:szCs w:val="22"/>
        </w:rPr>
        <w:pict>
          <v:shape id="_x0000_s1033" type="#_x0000_t32" style="position:absolute;margin-left:84.4pt;margin-top:-304.15pt;width:99.75pt;height:69.65pt;flip:x y;z-index:251665408;mso-position-horizontal-relative:text;mso-position-vertical-relative:text" o:connectortype="straight" strokecolor="#95b3d7" strokeweight="1.5pt">
            <v:stroke endarrow="block"/>
          </v:shape>
        </w:pict>
      </w:r>
      <w:r w:rsidRPr="000D7774">
        <w:rPr>
          <w:bCs w:val="0"/>
          <w:noProof/>
        </w:rPr>
        <w:pict>
          <v:group id="_x0000_s1028" style="position:absolute;margin-left:91.9pt;margin-top:-299pt;width:81pt;height:64.5pt;z-index:251662336;mso-position-horizontal-relative:text;mso-position-vertical-relative:text" coordorigin="3255,1995" coordsize="1620,1290">
            <v:shape id="_x0000_s1029" type="#_x0000_t32" style="position:absolute;left:3255;top:1995;width:1620;height:1290;flip:x y" o:connectortype="straight">
              <v:stroke endarrow="block"/>
            </v:shape>
            <v:shape id="_x0000_s1030" type="#_x0000_t32" style="position:absolute;left:4440;top:3285;width:435;height:0;flip:x" o:connectortype="straight">
              <v:stroke endarrow="block"/>
            </v:shape>
          </v:group>
        </w:pict>
      </w:r>
    </w:p>
    <w:p w:rsidR="00D72A05" w:rsidRDefault="00D72A05" w:rsidP="00D72A05">
      <w:pPr>
        <w:pStyle w:val="Titre1"/>
        <w:numPr>
          <w:ilvl w:val="0"/>
          <w:numId w:val="3"/>
        </w:numPr>
        <w:rPr>
          <w:rFonts w:ascii="Calibri" w:hAnsi="Calibri"/>
          <w:b w:val="0"/>
          <w:noProof/>
          <w:sz w:val="22"/>
          <w:szCs w:val="22"/>
        </w:rPr>
      </w:pPr>
      <w:r w:rsidRPr="0082728A">
        <w:rPr>
          <w:rFonts w:ascii="Calibri" w:hAnsi="Calibri"/>
          <w:b w:val="0"/>
          <w:noProof/>
          <w:sz w:val="22"/>
          <w:szCs w:val="22"/>
        </w:rPr>
        <w:t xml:space="preserve"> </w:t>
      </w:r>
      <w:r>
        <w:rPr>
          <w:rFonts w:ascii="Calibri" w:hAnsi="Calibri"/>
          <w:b w:val="0"/>
          <w:noProof/>
          <w:sz w:val="22"/>
          <w:szCs w:val="22"/>
        </w:rPr>
        <w:t>Les élèves peuvent à présent à nouveau analyser les données  pour mettre en évidence  les différences régionales.</w:t>
      </w:r>
    </w:p>
    <w:p w:rsidR="00D72A05" w:rsidRPr="00BD3551" w:rsidRDefault="00D72A05" w:rsidP="00D72A05">
      <w:pPr>
        <w:pStyle w:val="Titre1"/>
        <w:ind w:left="720"/>
        <w:rPr>
          <w:rFonts w:ascii="Calibri" w:hAnsi="Calibri"/>
          <w:noProof/>
          <w:sz w:val="22"/>
          <w:szCs w:val="22"/>
        </w:rPr>
      </w:pPr>
      <w:r w:rsidRPr="00BD3551">
        <w:rPr>
          <w:rFonts w:ascii="Calibri" w:hAnsi="Calibri"/>
          <w:noProof/>
          <w:sz w:val="22"/>
          <w:szCs w:val="22"/>
        </w:rPr>
        <w:t xml:space="preserve">Il est important de ne pas perdre de vue cet objectif de comparaison de la situation tout au long de la démarche.  Le risque : que les manipulations fassent oublier les objectifs de départ. </w:t>
      </w:r>
    </w:p>
    <w:p w:rsidR="00D72A05" w:rsidRPr="00902EEB" w:rsidRDefault="00D72A05" w:rsidP="00D72A05">
      <w:pPr>
        <w:pStyle w:val="Titre1"/>
        <w:numPr>
          <w:ilvl w:val="0"/>
          <w:numId w:val="3"/>
        </w:numPr>
        <w:rPr>
          <w:rFonts w:ascii="Calibri" w:hAnsi="Calibri"/>
          <w:b w:val="0"/>
          <w:noProof/>
          <w:sz w:val="22"/>
          <w:szCs w:val="22"/>
        </w:rPr>
      </w:pPr>
      <w:r w:rsidRPr="0082728A">
        <w:rPr>
          <w:rFonts w:ascii="Calibri" w:hAnsi="Calibri"/>
          <w:b w:val="0"/>
          <w:noProof/>
          <w:sz w:val="22"/>
          <w:szCs w:val="22"/>
        </w:rPr>
        <w:t xml:space="preserve">Possibilité de leur faire comparer leur analyse de départ et la nouvelle. </w:t>
      </w:r>
    </w:p>
    <w:p w:rsidR="00D72A05" w:rsidRPr="00D96D50" w:rsidRDefault="00D72A05" w:rsidP="00D72A05">
      <w:pPr>
        <w:rPr>
          <w:b/>
          <w:i/>
          <w:u w:val="single"/>
        </w:rPr>
      </w:pPr>
      <w:r w:rsidRPr="00D96D50">
        <w:rPr>
          <w:b/>
          <w:i/>
          <w:u w:val="single"/>
        </w:rPr>
        <w:t>Une approche interdisciplinaire  :</w:t>
      </w:r>
    </w:p>
    <w:p w:rsidR="00D72A05" w:rsidRDefault="00D72A05" w:rsidP="00D72A05">
      <w:pPr>
        <w:jc w:val="both"/>
      </w:pPr>
      <w:r>
        <w:t xml:space="preserve"> Le programme de mathématiques définit des objectifs nécessitant l’utilisation des tableurs et s’appuyant dans la mise en œuvre des activités sur des situations relevant du secteur sanitaire et/ou social. </w:t>
      </w:r>
    </w:p>
    <w:p w:rsidR="00D72A05" w:rsidRDefault="00D72A05" w:rsidP="00D72A05">
      <w:pPr>
        <w:jc w:val="both"/>
      </w:pPr>
      <w:r>
        <w:t>Le site disciplinaire des mathématiques de l’</w:t>
      </w:r>
      <w:proofErr w:type="gramStart"/>
      <w:r>
        <w:t>académie d’Amiens</w:t>
      </w:r>
      <w:proofErr w:type="gramEnd"/>
      <w:r>
        <w:t xml:space="preserve"> (</w:t>
      </w:r>
      <w:hyperlink r:id="rId9" w:history="1">
        <w:r w:rsidRPr="00057053">
          <w:rPr>
            <w:rStyle w:val="Lienhypertexte"/>
          </w:rPr>
          <w:t>http://maths</w:t>
        </w:r>
        <w:r>
          <w:rPr>
            <w:rStyle w:val="Lienhypertexte"/>
          </w:rPr>
          <w:t xml:space="preserve"> </w:t>
        </w:r>
        <w:proofErr w:type="spellStart"/>
        <w:r w:rsidRPr="00057053">
          <w:rPr>
            <w:rStyle w:val="Lienhypertexte"/>
          </w:rPr>
          <w:t>ac-amiens</w:t>
        </w:r>
        <w:proofErr w:type="spellEnd"/>
        <w:r>
          <w:rPr>
            <w:rStyle w:val="Lienhypertexte"/>
          </w:rPr>
          <w:t xml:space="preserve"> </w:t>
        </w:r>
        <w:proofErr w:type="spellStart"/>
        <w:r w:rsidRPr="00057053">
          <w:rPr>
            <w:rStyle w:val="Lienhypertexte"/>
          </w:rPr>
          <w:t>fr</w:t>
        </w:r>
        <w:proofErr w:type="spellEnd"/>
        <w:r w:rsidRPr="00057053">
          <w:rPr>
            <w:rStyle w:val="Lienhypertexte"/>
          </w:rPr>
          <w:t>/</w:t>
        </w:r>
      </w:hyperlink>
      <w:r>
        <w:t xml:space="preserve">) propose dans sa rubrique « formation », « résumés des formations » des documents issus d’une formation sur le « nouveau programme » de mathématiques en STSS .  </w:t>
      </w:r>
    </w:p>
    <w:p w:rsidR="00D72A05" w:rsidRDefault="00D72A05" w:rsidP="00D72A05">
      <w:pPr>
        <w:jc w:val="both"/>
      </w:pPr>
      <w:r>
        <w:t xml:space="preserve">La lecture de ces documents nous permet de mieux comprendre, les compétences développées en mathématiques et réexploitables dans notre enseignement . Ils mettent en évidence l’importance de travailler avec les collègues de la discipline pour favoriser l’atteinte de nos objectifs réciproques. </w:t>
      </w:r>
    </w:p>
    <w:p w:rsidR="001647AB" w:rsidRDefault="001647AB"/>
    <w:sectPr w:rsidR="001647AB" w:rsidSect="00902EEB">
      <w:pgSz w:w="11906" w:h="16838"/>
      <w:pgMar w:top="993" w:right="1133" w:bottom="993"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754B4"/>
    <w:multiLevelType w:val="multilevel"/>
    <w:tmpl w:val="87A0714C"/>
    <w:lvl w:ilvl="0">
      <w:start w:val="2"/>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3E0E585D"/>
    <w:multiLevelType w:val="multilevel"/>
    <w:tmpl w:val="87A0714C"/>
    <w:lvl w:ilvl="0">
      <w:start w:val="2"/>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59764BDD"/>
    <w:multiLevelType w:val="hybridMultilevel"/>
    <w:tmpl w:val="87A0714C"/>
    <w:lvl w:ilvl="0" w:tplc="E7507694">
      <w:start w:val="2"/>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08"/>
  <w:hyphenationZone w:val="425"/>
  <w:characterSpacingControl w:val="doNotCompress"/>
  <w:savePreviewPicture/>
  <w:compat/>
  <w:rsids>
    <w:rsidRoot w:val="00D72A05"/>
    <w:rsid w:val="001647AB"/>
    <w:rsid w:val="002645CA"/>
    <w:rsid w:val="00315108"/>
    <w:rsid w:val="00333196"/>
    <w:rsid w:val="00364F56"/>
    <w:rsid w:val="003B6F07"/>
    <w:rsid w:val="004F4ED5"/>
    <w:rsid w:val="00544A9F"/>
    <w:rsid w:val="005A5144"/>
    <w:rsid w:val="005D31D7"/>
    <w:rsid w:val="005F475D"/>
    <w:rsid w:val="00631312"/>
    <w:rsid w:val="00902077"/>
    <w:rsid w:val="00A51CCD"/>
    <w:rsid w:val="00C3715C"/>
    <w:rsid w:val="00C46530"/>
    <w:rsid w:val="00D72A05"/>
    <w:rsid w:val="00E97356"/>
    <w:rsid w:val="00EE22D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rules v:ext="edit">
        <o:r id="V:Rule1" type="connector" idref="#_x0000_s1029"/>
        <o:r id="V:Rule2" type="connector" idref="#_x0000_s1037"/>
        <o:r id="V:Rule3" type="connector" idref="#_x0000_s1038"/>
        <o:r id="V:Rule4" type="connector" idref="#_x0000_s1033"/>
        <o:r id="V:Rule5" type="connector" idref="#_x0000_s1027"/>
        <o:r id="V:Rule6"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A05"/>
    <w:rPr>
      <w:rFonts w:ascii="Calibri" w:eastAsia="Calibri" w:hAnsi="Calibri" w:cs="Times New Roman"/>
    </w:rPr>
  </w:style>
  <w:style w:type="paragraph" w:styleId="Titre1">
    <w:name w:val="heading 1"/>
    <w:basedOn w:val="Normal"/>
    <w:link w:val="Titre1Car"/>
    <w:uiPriority w:val="9"/>
    <w:qFormat/>
    <w:rsid w:val="00D72A05"/>
    <w:pPr>
      <w:spacing w:before="100" w:beforeAutospacing="1" w:after="100" w:afterAutospacing="1" w:line="240" w:lineRule="auto"/>
      <w:outlineLvl w:val="0"/>
    </w:pPr>
    <w:rPr>
      <w:rFonts w:ascii="Times New Roman" w:eastAsia="Times New Roman" w:hAnsi="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72A05"/>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unhideWhenUsed/>
    <w:rsid w:val="00D72A05"/>
    <w:rPr>
      <w:color w:val="0000FF"/>
      <w:u w:val="single"/>
    </w:rPr>
  </w:style>
  <w:style w:type="paragraph" w:styleId="Paragraphedeliste">
    <w:name w:val="List Paragraph"/>
    <w:basedOn w:val="Normal"/>
    <w:uiPriority w:val="34"/>
    <w:qFormat/>
    <w:rsid w:val="00D72A0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see.fr/fr/themes/detail.asp?ref_id=estim-pop&amp;reg_id=99"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maths.ac-amien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644</Words>
  <Characters>3547</Characters>
  <Application>Microsoft Office Word</Application>
  <DocSecurity>0</DocSecurity>
  <Lines>29</Lines>
  <Paragraphs>8</Paragraphs>
  <ScaleCrop>false</ScaleCrop>
  <Company/>
  <LinksUpToDate>false</LinksUpToDate>
  <CharactersWithSpaces>4183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aurore</dc:creator>
  <cp:lastModifiedBy>aurore</cp:lastModifiedBy>
  <cp:revision>1</cp:revision>
  <dcterms:created xsi:type="dcterms:W3CDTF">2013-09-15T20:49:00Z</dcterms:created>
  <dcterms:modified xsi:type="dcterms:W3CDTF">2013-09-15T20:50:00Z</dcterms:modified>
</cp:coreProperties>
</file>